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6B" w:rsidRDefault="0084139E" w:rsidP="007F1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39E">
        <w:rPr>
          <w:rFonts w:ascii="Times New Roman" w:hAnsi="Times New Roman" w:cs="Times New Roman"/>
          <w:sz w:val="28"/>
          <w:szCs w:val="28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4" o:title=""/>
          </v:shape>
          <o:OLEObject Type="Embed" ProgID="Acrobat.Document.11" ShapeID="_x0000_i1025" DrawAspect="Content" ObjectID="_1700573403" r:id="rId5"/>
        </w:object>
      </w:r>
    </w:p>
    <w:p w:rsidR="0051696B" w:rsidRDefault="0051696B" w:rsidP="007F1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E23" w:rsidRDefault="00567E23" w:rsidP="007F1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696B" w:rsidRDefault="0051696B" w:rsidP="007F1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696B" w:rsidRDefault="0051696B" w:rsidP="007F1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696B" w:rsidRDefault="0051696B" w:rsidP="007F1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696B" w:rsidRDefault="0051696B" w:rsidP="007F1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696B" w:rsidRDefault="0051696B" w:rsidP="007F1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7F1A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567E23">
      <w:pPr>
        <w:pStyle w:val="ConsPlusNormal"/>
        <w:ind w:left="4962" w:hanging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</w:p>
    <w:p w:rsidR="0051696B" w:rsidRPr="00511002" w:rsidRDefault="0051696B" w:rsidP="00567E23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67E23" w:rsidRPr="005110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567E23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67E23" w:rsidRPr="00511002">
        <w:rPr>
          <w:rFonts w:ascii="Times New Roman" w:hAnsi="Times New Roman" w:cs="Times New Roman"/>
          <w:sz w:val="28"/>
          <w:szCs w:val="28"/>
        </w:rPr>
        <w:t xml:space="preserve"> </w:t>
      </w:r>
      <w:r w:rsidRPr="00511002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  <w:r w:rsidR="00567E23" w:rsidRPr="00511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6B" w:rsidRPr="00511002" w:rsidRDefault="0051696B" w:rsidP="00567E23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1696B" w:rsidRPr="00511002" w:rsidRDefault="0051696B" w:rsidP="007F1A25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от «_</w:t>
      </w:r>
      <w:r w:rsidR="0084139E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511002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_</w:t>
      </w:r>
      <w:r w:rsidR="0084139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>_ 2021 года № _</w:t>
      </w:r>
      <w:r w:rsidR="0084139E">
        <w:rPr>
          <w:rFonts w:ascii="Times New Roman" w:hAnsi="Times New Roman" w:cs="Times New Roman"/>
          <w:sz w:val="28"/>
          <w:szCs w:val="28"/>
          <w:u w:val="single"/>
        </w:rPr>
        <w:t>55</w:t>
      </w:r>
      <w:r w:rsidRPr="00511002">
        <w:rPr>
          <w:rFonts w:ascii="Times New Roman" w:hAnsi="Times New Roman" w:cs="Times New Roman"/>
          <w:sz w:val="28"/>
          <w:szCs w:val="28"/>
        </w:rPr>
        <w:t>_</w:t>
      </w:r>
    </w:p>
    <w:p w:rsidR="0051696B" w:rsidRPr="00511002" w:rsidRDefault="0051696B" w:rsidP="007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7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7F1A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1696B" w:rsidRPr="00511002" w:rsidRDefault="0051696B" w:rsidP="007F1A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осуществления бюджетных инвестиций в объекты муниципальной собственности </w:t>
      </w:r>
      <w:r w:rsidR="00567E23"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b/>
          <w:bCs/>
          <w:sz w:val="28"/>
          <w:szCs w:val="28"/>
        </w:rPr>
        <w:t>Знаменский</w:t>
      </w:r>
      <w:r w:rsidR="00567E23"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 Республики Башкортостан и принятия решений о подготовке и реализации бюджетных инвестиций в указанные объекты</w:t>
      </w:r>
    </w:p>
    <w:p w:rsidR="0051696B" w:rsidRPr="00511002" w:rsidRDefault="0051696B" w:rsidP="007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7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51696B" w:rsidRPr="00511002" w:rsidRDefault="0051696B" w:rsidP="007F1A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1002">
        <w:rPr>
          <w:rFonts w:ascii="Times New Roman" w:hAnsi="Times New Roman" w:cs="Times New Roman"/>
          <w:sz w:val="28"/>
          <w:szCs w:val="28"/>
        </w:rPr>
        <w:t>. Основные положения</w:t>
      </w:r>
    </w:p>
    <w:p w:rsidR="0051696B" w:rsidRPr="00511002" w:rsidRDefault="0051696B" w:rsidP="007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7F1A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567E23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567E23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или в приобретение объектов недвижимого имущества в муниципальную собственность </w:t>
      </w:r>
      <w:r w:rsidR="00567E23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567E23" w:rsidRPr="00511002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и принятия решений о подготовке и реализации бюджетных инвестиций в указанные объекты (далее - решение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объекты), в том числе условия передачи органами местного самоуправления 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муниципальным бюджетным или автономным учреждениям, муниципальным унитарным предприятиям 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(далее - организации) полномочий муниципального заказчика по заключению и исполнению от имени</w:t>
      </w:r>
      <w:r w:rsidR="00245397" w:rsidRPr="00511002">
        <w:t xml:space="preserve"> 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муниципальных контрактов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от лица указанных органов в соответствии с настоящим Положением, а также порядок заключения соглашений о передаче указанных полномочий.</w:t>
      </w:r>
    </w:p>
    <w:p w:rsidR="0051696B" w:rsidRPr="00511002" w:rsidRDefault="0051696B" w:rsidP="003618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2.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>Не допускается при исполнении местного бюджета предоставление бюджетных инвестиций в объекты, по которым принято решение о предоставлении субсидии, предусмотренное пунктом 2 статьи 78.2 Бюджетного кодекса Российской Федерации (далее - решение о предоставлении субсидии).</w:t>
      </w:r>
    </w:p>
    <w:p w:rsidR="0051696B" w:rsidRPr="00511002" w:rsidRDefault="0051696B" w:rsidP="003618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511002">
        <w:rPr>
          <w:rFonts w:ascii="Times New Roman" w:hAnsi="Times New Roman" w:cs="Times New Roman"/>
          <w:sz w:val="28"/>
          <w:szCs w:val="28"/>
        </w:rPr>
        <w:t xml:space="preserve">Принятие решения в отношении объектов, по которым было принято решение о предоставлении субсидии,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субсидии на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бюджетные инвестиции).</w:t>
      </w:r>
    </w:p>
    <w:p w:rsidR="0051696B" w:rsidRPr="00511002" w:rsidRDefault="0051696B" w:rsidP="003618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3.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</w:p>
    <w:p w:rsidR="0051696B" w:rsidRPr="00511002" w:rsidRDefault="0051696B" w:rsidP="007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7F1A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1002">
        <w:rPr>
          <w:rFonts w:ascii="Times New Roman" w:hAnsi="Times New Roman" w:cs="Times New Roman"/>
          <w:sz w:val="28"/>
          <w:szCs w:val="28"/>
        </w:rPr>
        <w:t>. Подготовка проекта решения</w:t>
      </w:r>
    </w:p>
    <w:p w:rsidR="0051696B" w:rsidRPr="00511002" w:rsidRDefault="0051696B" w:rsidP="007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3618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11002">
        <w:rPr>
          <w:rFonts w:ascii="Times New Roman" w:hAnsi="Times New Roman" w:cs="Times New Roman"/>
          <w:sz w:val="28"/>
          <w:szCs w:val="28"/>
        </w:rPr>
        <w:t>4.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об осуществлении бюджетных инвестиций в приобретение объектов недвижимого имущества в муниципальную собственность 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выступает главный распорядитель средств бюджета 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Башкортостан, наделенный в установленном порядке полномочиями в соответствующей сфере ответственности.</w:t>
      </w:r>
    </w:p>
    <w:p w:rsidR="0051696B" w:rsidRPr="00511002" w:rsidRDefault="0051696B" w:rsidP="003618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Инициатором подготовки проекта решения об осуществлении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строительства, полномочия муниципального заказчика по которому предполагается передать организации, выступает главный распорядитель средств бюджета</w:t>
      </w:r>
      <w:r w:rsidR="00245397" w:rsidRPr="00511002">
        <w:t xml:space="preserve"> 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100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в чьем ведении находится организация (далее – главный распорядитель средств бюджета).</w:t>
      </w:r>
      <w:proofErr w:type="gramEnd"/>
    </w:p>
    <w:p w:rsidR="0051696B" w:rsidRPr="00511002" w:rsidRDefault="0051696B" w:rsidP="003618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5. Главные распорядители средств бюджета, подготавливают проект решения в форме постановления Администрации</w:t>
      </w:r>
      <w:r w:rsidR="00245397" w:rsidRPr="00511002">
        <w:t xml:space="preserve"> 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100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(далее – Администрация).</w:t>
      </w:r>
    </w:p>
    <w:p w:rsidR="0051696B" w:rsidRPr="00511002" w:rsidRDefault="0051696B" w:rsidP="003618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 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(далее – муниципальная программа), согласовывается главным распорядителем средств бюджета с ответственным исполнителем муниципальной программы в случае, если он не является одновременно ее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ответственным исполнителем.</w:t>
      </w:r>
    </w:p>
    <w:p w:rsidR="0051696B" w:rsidRPr="00511002" w:rsidRDefault="0051696B" w:rsidP="009E7C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6. В проект решения может быть включено несколько объектов капитального строительства и (или) объектов недвижимого имущества.</w:t>
      </w:r>
    </w:p>
    <w:p w:rsidR="0051696B" w:rsidRPr="00511002" w:rsidRDefault="0051696B" w:rsidP="003B2D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7. 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51696B" w:rsidRPr="00511002" w:rsidRDefault="0051696B" w:rsidP="003B2D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lastRenderedPageBreak/>
        <w:t>а) наименование объекта капитального строительства либо наименование объекта недвижимого имущества;</w:t>
      </w:r>
    </w:p>
    <w:p w:rsidR="0051696B" w:rsidRPr="00511002" w:rsidRDefault="0051696B" w:rsidP="003B2D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б) 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51696B" w:rsidRPr="00511002" w:rsidRDefault="0051696B" w:rsidP="003B2D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в) наименование главного распорядителя средств бюджета и муниципального заказчика;</w:t>
      </w:r>
    </w:p>
    <w:p w:rsidR="0051696B" w:rsidRPr="00511002" w:rsidRDefault="0051696B" w:rsidP="003B2D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г) наименование застройщика (заказчика);</w:t>
      </w:r>
    </w:p>
    <w:p w:rsidR="0051696B" w:rsidRPr="00511002" w:rsidRDefault="0051696B" w:rsidP="003B2D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>) мощность (прирост мощности) объекта капитального строительства, подлежащая вводу, мощность объекта недвижимого имущества;</w:t>
      </w:r>
    </w:p>
    <w:p w:rsidR="0051696B" w:rsidRPr="00511002" w:rsidRDefault="0051696B" w:rsidP="00F21A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е) срок ввода в эксплуатацию (приобретения) объекта;</w:t>
      </w:r>
    </w:p>
    <w:p w:rsidR="0051696B" w:rsidRPr="00511002" w:rsidRDefault="0051696B" w:rsidP="00F21A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>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51696B" w:rsidRPr="00511002" w:rsidRDefault="0051696B" w:rsidP="003F79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10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>) распределение сметной стоимости объекта капитального строительства (при наличии утвержденной проектной документации), или предполагаемой (предельной) стоимости объекта капитального строительства, или стоимости приобретения объекта недвижимого имущества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51696B" w:rsidRPr="00511002" w:rsidRDefault="0051696B" w:rsidP="003F79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технологического и ценового аудита, если инвестиции на указанные цели предоставляются (в ценах соответствующих лет);</w:t>
      </w:r>
    </w:p>
    <w:p w:rsidR="0051696B" w:rsidRPr="00511002" w:rsidRDefault="0051696B" w:rsidP="003F79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к) распределение общего (предельного) объема предоставляемых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инвестиций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и ценового аудита, если инвестиции на указанные цели предоставляются (в ценах соответствующих лет);</w:t>
      </w:r>
    </w:p>
    <w:p w:rsidR="0051696B" w:rsidRPr="00511002" w:rsidRDefault="0051696B" w:rsidP="003F79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л) наименование муниципальной программы, в рамках которой предполагается осуществлять бюджетные инвестиции.</w:t>
      </w:r>
    </w:p>
    <w:p w:rsidR="0051696B" w:rsidRPr="00511002" w:rsidRDefault="0051696B" w:rsidP="003F79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8. В случае необходимости корректировки проектной документации в проекте решения могут быть предусмотрены средства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51696B" w:rsidRPr="00511002" w:rsidRDefault="0051696B" w:rsidP="007440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направляет согласованный в установленном порядке с ответственным исполнителем муниципальной программы проект решения с пояснительной запиской и финансово-экономическим обоснованием одновременно в структурные подразделения Администрации, наделенные в установленном порядке полномочиями в сферах ведения экономического развития и инвестиций муниципального образования, земельных и имущественных отношений, градостроительства, строительства, транспорта и жилищно-коммунального хозяйства 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245397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Башкортостан (далее – ответственные структурные подразделения Администрации) для подготовки заключения не позднее 1 августа текущего года (по особо опасным, технически сложным и уникальным объектам капитального строительства - не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чем 1 июля текущего года).</w:t>
      </w:r>
    </w:p>
    <w:p w:rsidR="0051696B" w:rsidRPr="00511002" w:rsidRDefault="0051696B" w:rsidP="00407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10. Ответственные структурные подразделения Администрации рассматривают проект решения в течение 20 календарных дней со дня его поступления (по особо опасным, технически сложным и уникальным объектам капитального строительства - в течение 50 календарных дней со дня его поступления).</w:t>
      </w:r>
    </w:p>
    <w:p w:rsidR="0051696B" w:rsidRPr="00511002" w:rsidRDefault="0051696B" w:rsidP="0077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11. Проект решения с положительными заключениями ответственных структурных подразделений Администрации направляется в Финансовое управление администрации муниципального района Белебеевский район Республики Башкортостан (далее – Финансовое управление) в течение 5 календарных дней со дня получения заключений.</w:t>
      </w:r>
    </w:p>
    <w:p w:rsidR="0051696B" w:rsidRPr="00511002" w:rsidRDefault="0051696B" w:rsidP="0077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предусматриваемый на реализацию бюджетных инвестиций, согласовывается Финансовым управлением с Главой Администрации муниципального района Белебеевский район Республики Башкортостан (далее – Глава Администрации) и доводится до главных распорядителей средств бюджета.</w:t>
      </w:r>
    </w:p>
    <w:p w:rsidR="0051696B" w:rsidRPr="00511002" w:rsidRDefault="0051696B" w:rsidP="00E71E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На основании доведенных Финансовым управлением планируемых параметров предельных объемов бюджетных ассигнований на очередной финансовый год и плановый период главные распорядители средств бюджета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уточняют проекты решений, которые рассматриваются на совещании с участием Главы Администрации.</w:t>
      </w:r>
    </w:p>
    <w:p w:rsidR="0051696B" w:rsidRPr="00511002" w:rsidRDefault="0051696B" w:rsidP="002F1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Уточненные проекты решений направляются главными распорядителями средств бюджета ответственным исполнителям муниципальных программ для включения ими объектов в муниципальные программы, а также в Финансовое управление для включения в проект бюджета </w:t>
      </w:r>
      <w:r w:rsidR="00FD3B1F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FD3B1F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на очередной финансовый год и плановый период.</w:t>
      </w:r>
    </w:p>
    <w:p w:rsidR="0051696B" w:rsidRPr="00511002" w:rsidRDefault="0051696B" w:rsidP="002F1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После утверждения местного бюджета на очередной финансовый год и плановый период проект решения утверждается постановлением Администрации.</w:t>
      </w:r>
    </w:p>
    <w:p w:rsidR="0051696B" w:rsidRPr="00511002" w:rsidRDefault="0051696B" w:rsidP="007D02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12. Принятие решений об осуществлении бюджетных инвестиций в текущем финансовом году, внесение изменений в ранее принятые решения, включая изменения, предусмотренные абзацем вторым пункта 2 настоящего Положения, осуществляются в порядке, установленном настоящим Положением, решением о местном бюджете на очередной финансовый год и плановый период,  в соответствии с бюджетным законодательством Российской Федерации.</w:t>
      </w:r>
    </w:p>
    <w:p w:rsidR="0051696B" w:rsidRPr="00511002" w:rsidRDefault="0051696B" w:rsidP="009027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13. Главный распорядитель средств бюджета направляет в течение 3 рабочих дней со дня утверждения постановлением Администрации решение (изменения, внесенные в решение) в ответственные структурные подразделения Администрации, Финансовое управление.</w:t>
      </w:r>
    </w:p>
    <w:p w:rsidR="0051696B" w:rsidRPr="00511002" w:rsidRDefault="0051696B" w:rsidP="00030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14. Главный распорядитель средств бюджета осуществляет ведение реестра принятых решений о подготовке и реализации бюджетных инвестиций в объекты муниципальной собственности </w:t>
      </w:r>
      <w:r w:rsidR="00FD3B1F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FD3B1F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в электронном виде по форме в соответствии с приложением к настоящему Положению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>.</w:t>
      </w:r>
    </w:p>
    <w:p w:rsidR="0051696B" w:rsidRPr="00511002" w:rsidRDefault="0051696B" w:rsidP="007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7F1A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1002">
        <w:rPr>
          <w:rFonts w:ascii="Times New Roman" w:hAnsi="Times New Roman" w:cs="Times New Roman"/>
          <w:sz w:val="28"/>
          <w:szCs w:val="28"/>
        </w:rPr>
        <w:t>. Осуществление бюджетных инвестиций</w:t>
      </w:r>
    </w:p>
    <w:p w:rsidR="0051696B" w:rsidRPr="00511002" w:rsidRDefault="0051696B" w:rsidP="007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030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15.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1696B" w:rsidRPr="00511002" w:rsidRDefault="0051696B" w:rsidP="00030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а)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>муниципальными заказчиками, являющимися получателями средств местного бюджета;</w:t>
      </w:r>
    </w:p>
    <w:p w:rsidR="0051696B" w:rsidRPr="00511002" w:rsidRDefault="0051696B" w:rsidP="00030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511002">
        <w:rPr>
          <w:rFonts w:ascii="Times New Roman" w:hAnsi="Times New Roman" w:cs="Times New Roman"/>
          <w:sz w:val="28"/>
          <w:szCs w:val="28"/>
        </w:rPr>
        <w:t xml:space="preserve">б) организациями, которым главные распорядители средств бюджета, в чьем ведении находятся организации, передали в соответствии с настоящим Положением свои полномочия муниципального заказчика по заключению и исполнению от имени </w:t>
      </w:r>
      <w:r w:rsidR="00FD3B1F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FD3B1F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муниципальных контрактов.</w:t>
      </w:r>
    </w:p>
    <w:p w:rsidR="0051696B" w:rsidRPr="00511002" w:rsidRDefault="0051696B" w:rsidP="00A761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16. 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:rsidR="0051696B" w:rsidRPr="00511002" w:rsidRDefault="0051696B" w:rsidP="00A761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 подпунктом б) пункта 15 настоящего Положения главными распорядителями средств бюджета заключаются с организациями соглашения о передаче полномочий муниципального заказчика по заключению и исполнению от имени</w:t>
      </w:r>
      <w:r w:rsidR="00FD3B1F" w:rsidRPr="00511002">
        <w:t xml:space="preserve"> </w:t>
      </w:r>
      <w:r w:rsidR="00FD3B1F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FD3B1F" w:rsidRPr="005110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100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муниципальных контрактов (за исключением полномочий, связанных с введением в установленном порядке в эксплуатацию объекта) (далее - соглашение о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передаче полномочий).</w:t>
      </w:r>
    </w:p>
    <w:p w:rsidR="0051696B" w:rsidRPr="00511002" w:rsidRDefault="0051696B" w:rsidP="00340B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18. Соглашение о передаче полномочий может быть заключено в отношении нескольких объектов и должно содержать в том числе:</w:t>
      </w:r>
    </w:p>
    <w:p w:rsidR="0051696B" w:rsidRPr="00511002" w:rsidRDefault="0051696B" w:rsidP="00340B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а) 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недвижимого имущества в муниципальную собственность), а также с указанием рассчитанного в ценах соответствующих лет общего объема капитальных вложений за счет всех источников финансового обеспечения, в том числе объема бюджетных ассигнований, предусмотренного главному распорядителю средств бюджета как получателю средств местного бюджета;</w:t>
      </w:r>
    </w:p>
    <w:p w:rsidR="0051696B" w:rsidRPr="00511002" w:rsidRDefault="0051696B" w:rsidP="006B7A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б) положения, устанавливающие права и обязанности организации по заключению и исполнению от имени </w:t>
      </w:r>
      <w:r w:rsidR="00FD3B1F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FD3B1F" w:rsidRPr="00511002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муниципальных контрактов;</w:t>
      </w:r>
    </w:p>
    <w:p w:rsidR="0051696B" w:rsidRPr="00511002" w:rsidRDefault="0051696B" w:rsidP="006B7A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в) ответственность организации за неисполнение или ненадлежащее исполнение переданных ей полномочий;</w:t>
      </w:r>
    </w:p>
    <w:p w:rsidR="0051696B" w:rsidRPr="00511002" w:rsidRDefault="0051696B" w:rsidP="006B7A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г) положения, устанавливающие право главного распорядителя средств бюджета на проведение проверок соблюдения организацией условий, установленных заключенным соглашением о передаче полномочий;</w:t>
      </w:r>
    </w:p>
    <w:p w:rsidR="0051696B" w:rsidRPr="00511002" w:rsidRDefault="0051696B" w:rsidP="006B7A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>) положения, устанавливающие обязанность организации по ведению бюджетного учета, составлению и представлению бюджетной отчетности в соответствии с единой методологией и стандартами, установленными Министерством финансов Российской Федерации, главному распорядителю средств бюджета.</w:t>
      </w:r>
    </w:p>
    <w:p w:rsidR="0051696B" w:rsidRPr="00511002" w:rsidRDefault="0051696B" w:rsidP="0013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19. Операции с бюджетными инвестициями отражаются на лицевых счетах для учета операций со средствами местного бюджета, открытых в Финансовом управлении:</w:t>
      </w:r>
    </w:p>
    <w:p w:rsidR="0051696B" w:rsidRPr="00511002" w:rsidRDefault="0051696B" w:rsidP="0013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муниципальных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контрактов муниципальным заказчиком;</w:t>
      </w:r>
    </w:p>
    <w:p w:rsidR="0051696B" w:rsidRPr="00511002" w:rsidRDefault="0051696B" w:rsidP="0013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511002">
        <w:rPr>
          <w:rFonts w:ascii="Times New Roman" w:hAnsi="Times New Roman" w:cs="Times New Roman"/>
          <w:sz w:val="28"/>
          <w:szCs w:val="28"/>
        </w:rPr>
        <w:t xml:space="preserve">б)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</w:t>
      </w:r>
      <w:r w:rsidR="007D246F"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="007D246F"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51696B" w:rsidRPr="00511002" w:rsidRDefault="0051696B" w:rsidP="00B40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20. Основанием для открытия лицевых счетов организациям, указанным в подпункте б) пункта 19 настоящего Положения, является соглашение о передаче полномочий.</w:t>
      </w:r>
    </w:p>
    <w:p w:rsidR="0051696B" w:rsidRPr="00511002" w:rsidRDefault="0051696B" w:rsidP="007F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1696B" w:rsidRPr="00511002" w:rsidSect="007F1A2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1696B" w:rsidRPr="00511002" w:rsidRDefault="0051696B" w:rsidP="007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B4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51696B" w:rsidRPr="00511002" w:rsidRDefault="0051696B" w:rsidP="00B4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о порядке осуществления бюджетных инвестиций</w:t>
      </w:r>
    </w:p>
    <w:p w:rsidR="0051696B" w:rsidRPr="00511002" w:rsidRDefault="0051696B" w:rsidP="00B4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 </w:t>
      </w:r>
    </w:p>
    <w:p w:rsidR="007D246F" w:rsidRPr="00511002" w:rsidRDefault="007D246F" w:rsidP="00B4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sz w:val="28"/>
          <w:szCs w:val="28"/>
        </w:rPr>
        <w:t>Знаменский</w:t>
      </w:r>
      <w:r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1696B" w:rsidRPr="00511002" w:rsidRDefault="0051696B" w:rsidP="00B4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</w:p>
    <w:p w:rsidR="0051696B" w:rsidRPr="00511002" w:rsidRDefault="0051696B" w:rsidP="00B4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 Республики Башкортостан и принятия решений</w:t>
      </w:r>
    </w:p>
    <w:p w:rsidR="0051696B" w:rsidRPr="00511002" w:rsidRDefault="0051696B" w:rsidP="00B4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указанные объекты</w:t>
      </w:r>
    </w:p>
    <w:p w:rsidR="0051696B" w:rsidRPr="00511002" w:rsidRDefault="0051696B" w:rsidP="002E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2E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6B" w:rsidRPr="00511002" w:rsidRDefault="0051696B" w:rsidP="00B4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51696B" w:rsidRPr="00511002" w:rsidRDefault="0051696B" w:rsidP="00B4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принятых решений о подготовке и реализации бюджетных</w:t>
      </w:r>
    </w:p>
    <w:p w:rsidR="0051696B" w:rsidRPr="00511002" w:rsidRDefault="0051696B" w:rsidP="00B4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инвестиций в объекты муниципальной собственности</w:t>
      </w:r>
    </w:p>
    <w:p w:rsidR="0051696B" w:rsidRPr="00511002" w:rsidRDefault="007D246F" w:rsidP="00B4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942E9">
        <w:rPr>
          <w:rFonts w:ascii="Times New Roman" w:hAnsi="Times New Roman" w:cs="Times New Roman"/>
          <w:b/>
          <w:bCs/>
          <w:sz w:val="28"/>
          <w:szCs w:val="28"/>
        </w:rPr>
        <w:t>Знаменский</w:t>
      </w:r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51696B" w:rsidRPr="0051100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</w:t>
      </w:r>
    </w:p>
    <w:p w:rsidR="0051696B" w:rsidRPr="00511002" w:rsidRDefault="0051696B" w:rsidP="00B4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51696B" w:rsidRPr="00511002" w:rsidRDefault="0051696B" w:rsidP="002E5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514"/>
        <w:gridCol w:w="1559"/>
        <w:gridCol w:w="1677"/>
        <w:gridCol w:w="1441"/>
        <w:gridCol w:w="1134"/>
        <w:gridCol w:w="1560"/>
        <w:gridCol w:w="1417"/>
        <w:gridCol w:w="1418"/>
        <w:gridCol w:w="1685"/>
      </w:tblGrid>
      <w:tr w:rsidR="0051696B" w:rsidRPr="00511002">
        <w:trPr>
          <w:jc w:val="center"/>
        </w:trPr>
        <w:tc>
          <w:tcPr>
            <w:tcW w:w="534" w:type="dxa"/>
          </w:tcPr>
          <w:p w:rsidR="0051696B" w:rsidRPr="00511002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275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правового акта о принятии решения</w:t>
            </w:r>
          </w:p>
        </w:tc>
        <w:tc>
          <w:tcPr>
            <w:tcW w:w="1514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бюджетного инвестирования</w:t>
            </w:r>
          </w:p>
        </w:tc>
        <w:tc>
          <w:tcPr>
            <w:tcW w:w="1677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1441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застройщика (заказчика)</w:t>
            </w:r>
          </w:p>
        </w:tc>
        <w:tc>
          <w:tcPr>
            <w:tcW w:w="1134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Мощность (прирост мощности) объекта</w:t>
            </w:r>
          </w:p>
        </w:tc>
        <w:tc>
          <w:tcPr>
            <w:tcW w:w="1560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ввода в эксплуатацию (приобретения) объекта</w:t>
            </w:r>
          </w:p>
        </w:tc>
        <w:tc>
          <w:tcPr>
            <w:tcW w:w="1417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Сметная стоимость объекта по годам</w:t>
            </w:r>
          </w:p>
        </w:tc>
        <w:tc>
          <w:tcPr>
            <w:tcW w:w="1418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(предельный) объем бюджетных инвестиций по годам</w:t>
            </w:r>
          </w:p>
        </w:tc>
        <w:tc>
          <w:tcPr>
            <w:tcW w:w="1685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</w:tr>
      <w:tr w:rsidR="0051696B" w:rsidRPr="0035197A">
        <w:trPr>
          <w:jc w:val="center"/>
        </w:trPr>
        <w:tc>
          <w:tcPr>
            <w:tcW w:w="534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7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1696B" w:rsidRPr="00511002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5" w:type="dxa"/>
          </w:tcPr>
          <w:p w:rsidR="0051696B" w:rsidRPr="0035197A" w:rsidRDefault="0051696B" w:rsidP="0035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1696B" w:rsidRPr="0035197A">
        <w:trPr>
          <w:jc w:val="center"/>
        </w:trPr>
        <w:tc>
          <w:tcPr>
            <w:tcW w:w="534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96B" w:rsidRPr="0035197A">
        <w:trPr>
          <w:jc w:val="center"/>
        </w:trPr>
        <w:tc>
          <w:tcPr>
            <w:tcW w:w="534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96B" w:rsidRPr="0035197A">
        <w:trPr>
          <w:jc w:val="center"/>
        </w:trPr>
        <w:tc>
          <w:tcPr>
            <w:tcW w:w="534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51696B" w:rsidRPr="0035197A" w:rsidRDefault="0051696B" w:rsidP="0035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1696B" w:rsidRPr="00B406A7" w:rsidRDefault="0051696B" w:rsidP="002E5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696B" w:rsidRPr="00B406A7" w:rsidSect="00F63544">
      <w:pgSz w:w="16838" w:h="11905" w:orient="landscape"/>
      <w:pgMar w:top="709" w:right="678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355AB"/>
    <w:rsid w:val="000305EE"/>
    <w:rsid w:val="000414E4"/>
    <w:rsid w:val="00060EC1"/>
    <w:rsid w:val="000E31D7"/>
    <w:rsid w:val="001147A3"/>
    <w:rsid w:val="00130E03"/>
    <w:rsid w:val="0020348C"/>
    <w:rsid w:val="002216B1"/>
    <w:rsid w:val="00223CF5"/>
    <w:rsid w:val="00245397"/>
    <w:rsid w:val="002E5CC1"/>
    <w:rsid w:val="002F1961"/>
    <w:rsid w:val="00340BB0"/>
    <w:rsid w:val="0035197A"/>
    <w:rsid w:val="0036187E"/>
    <w:rsid w:val="003942E9"/>
    <w:rsid w:val="003B2D54"/>
    <w:rsid w:val="003E06D9"/>
    <w:rsid w:val="003F79B3"/>
    <w:rsid w:val="00407D45"/>
    <w:rsid w:val="004349C5"/>
    <w:rsid w:val="004364B9"/>
    <w:rsid w:val="004501FF"/>
    <w:rsid w:val="0047295E"/>
    <w:rsid w:val="00511002"/>
    <w:rsid w:val="0051696B"/>
    <w:rsid w:val="0051726B"/>
    <w:rsid w:val="00567E23"/>
    <w:rsid w:val="005E00E2"/>
    <w:rsid w:val="005E1246"/>
    <w:rsid w:val="006B49C6"/>
    <w:rsid w:val="006B7AC0"/>
    <w:rsid w:val="00705CB1"/>
    <w:rsid w:val="007440AF"/>
    <w:rsid w:val="007730FE"/>
    <w:rsid w:val="007749C6"/>
    <w:rsid w:val="007D02EC"/>
    <w:rsid w:val="007D246F"/>
    <w:rsid w:val="007E45DE"/>
    <w:rsid w:val="007F1A25"/>
    <w:rsid w:val="0084139E"/>
    <w:rsid w:val="008742D4"/>
    <w:rsid w:val="008A0B60"/>
    <w:rsid w:val="008D3E1C"/>
    <w:rsid w:val="00902708"/>
    <w:rsid w:val="009E7CB0"/>
    <w:rsid w:val="00A61D2D"/>
    <w:rsid w:val="00A76158"/>
    <w:rsid w:val="00B04033"/>
    <w:rsid w:val="00B32B79"/>
    <w:rsid w:val="00B406A7"/>
    <w:rsid w:val="00C47CA6"/>
    <w:rsid w:val="00C6574C"/>
    <w:rsid w:val="00CA037B"/>
    <w:rsid w:val="00CE5B86"/>
    <w:rsid w:val="00D831C8"/>
    <w:rsid w:val="00DA7C02"/>
    <w:rsid w:val="00DB482A"/>
    <w:rsid w:val="00DB5D04"/>
    <w:rsid w:val="00DD5B3D"/>
    <w:rsid w:val="00E355AB"/>
    <w:rsid w:val="00E70444"/>
    <w:rsid w:val="00E71EA1"/>
    <w:rsid w:val="00F02050"/>
    <w:rsid w:val="00F21A3F"/>
    <w:rsid w:val="00F63544"/>
    <w:rsid w:val="00F835AC"/>
    <w:rsid w:val="00F948DC"/>
    <w:rsid w:val="00FD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55A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355A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355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B406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50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1522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55A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355A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355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B40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450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1522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осуществления</vt:lpstr>
    </vt:vector>
  </TitlesOfParts>
  <Company>diakov.net</Company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осуществления</dc:title>
  <dc:creator>Ялалетдинов</dc:creator>
  <cp:lastModifiedBy>1</cp:lastModifiedBy>
  <cp:revision>3</cp:revision>
  <dcterms:created xsi:type="dcterms:W3CDTF">2021-12-09T09:52:00Z</dcterms:created>
  <dcterms:modified xsi:type="dcterms:W3CDTF">2021-12-09T11:44:00Z</dcterms:modified>
</cp:coreProperties>
</file>